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滁州市财政局关于下达2020年省级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水利资金的通知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全椒县、南谯区、明光市、天长市财政局：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根据《安徽省财政厅关于下达2020年省级水利资金的通知》（皖财农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1288号），经市水利局商市财政局，并报市政府同意，现下达你县（市、区）    万元，用于水资源项目，请列入2021年政府收支分类科目“2130311水资源节约管理与保护”，请严格按照规定使用管理资金，确保资金安全、规范、高效使用。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附：2020年省级水利资金分配表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滁州市财政局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2021年2月3日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00" w:lineRule="exact"/>
        <w:rPr>
          <w:rFonts w:hint="eastAsia" w:ascii="Times New Roman" w:hAnsi="宋体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信息公开类别：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主动公开</w:t>
      </w:r>
    </w:p>
    <w:p>
      <w:pPr>
        <w:spacing w:line="30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────────────────────────────────────</w:t>
      </w:r>
    </w:p>
    <w:p>
      <w:pPr>
        <w:spacing w:line="300" w:lineRule="exact"/>
        <w:ind w:firstLine="300" w:firstLineChars="1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抄送：市水利局，相关县（市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、区</w:t>
      </w:r>
      <w:r>
        <w:rPr>
          <w:rFonts w:hint="eastAsia" w:ascii="Times New Roman" w:hAnsi="Times New Roman" w:eastAsia="仿宋_GB2312"/>
          <w:sz w:val="30"/>
          <w:szCs w:val="30"/>
        </w:rPr>
        <w:t>）水利（务）局</w:t>
      </w:r>
    </w:p>
    <w:p>
      <w:pPr>
        <w:spacing w:line="300" w:lineRule="exact"/>
      </w:pPr>
      <w:r>
        <w:rPr>
          <w:rFonts w:ascii="Times New Roman" w:hAnsi="Times New Roman"/>
          <w:b/>
          <w:bCs/>
          <w:sz w:val="32"/>
          <w:szCs w:val="32"/>
        </w:rPr>
        <w:t>────────────────────────────────────</w:t>
      </w:r>
    </w:p>
    <w:p>
      <w:pPr>
        <w:spacing w:line="300" w:lineRule="exact"/>
        <w:ind w:firstLine="300" w:firstLineChars="10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t>滁州市财政局办公</w:t>
      </w:r>
      <w:r>
        <w:rPr>
          <w:rFonts w:hint="eastAsia" w:ascii="Times New Roman" w:hAnsi="Times New Roman" w:eastAsia="仿宋_GB2312"/>
          <w:sz w:val="30"/>
          <w:szCs w:val="30"/>
        </w:rPr>
        <w:t>室</w:t>
      </w:r>
      <w:r>
        <w:rPr>
          <w:rFonts w:ascii="Times New Roman" w:hAnsi="Times New Roman" w:eastAsia="仿宋_GB2312"/>
          <w:sz w:val="30"/>
          <w:szCs w:val="30"/>
        </w:rPr>
        <w:t xml:space="preserve">         </w:t>
      </w:r>
      <w:r>
        <w:rPr>
          <w:rFonts w:hint="eastAsia" w:ascii="Times New Roman" w:hAnsi="Times New Roman" w:eastAsia="仿宋_GB2312"/>
          <w:sz w:val="30"/>
          <w:szCs w:val="30"/>
        </w:rPr>
        <w:t xml:space="preserve">  </w:t>
      </w:r>
      <w:r>
        <w:rPr>
          <w:rFonts w:ascii="Times New Roman" w:hAnsi="Times New Roman" w:eastAsia="仿宋_GB2312"/>
          <w:sz w:val="30"/>
          <w:szCs w:val="30"/>
        </w:rPr>
        <w:t xml:space="preserve">  20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21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日印发</w:t>
      </w:r>
      <w:r>
        <w:rPr>
          <w:rFonts w:ascii="Times New Roman" w:hAnsi="Times New Roman"/>
          <w:b/>
          <w:bCs/>
          <w:sz w:val="32"/>
          <w:szCs w:val="32"/>
        </w:rPr>
        <w:t>────────────────────────────────────</w:t>
      </w:r>
    </w:p>
    <w:p>
      <w:pPr>
        <w:spacing w:line="300" w:lineRule="exact"/>
        <w:ind w:firstLine="321" w:firstLineChars="100"/>
        <w:rPr>
          <w:rFonts w:hint="eastAsia" w:ascii="Times New Roman" w:hAnsi="Times New Roman"/>
          <w:b/>
          <w:bCs/>
          <w:sz w:val="32"/>
          <w:szCs w:val="32"/>
          <w:lang w:val="en-US" w:eastAsia="zh-CN"/>
        </w:rPr>
      </w:pPr>
    </w:p>
    <w:tbl>
      <w:tblPr>
        <w:tblW w:w="838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408"/>
        <w:gridCol w:w="3015"/>
        <w:gridCol w:w="1845"/>
        <w:gridCol w:w="13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2020年省级水利资金分配表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县别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实施单位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金额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全椒县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饮用水源地保护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黄栗树水库管理处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明光市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县域节水型社会达标及取用水监控能力建设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明光市水务局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南谯区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取水工程核查登记与监控能力建设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南谯区水利局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天长市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取水工程核查登记与监控能力建设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天长市水利局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</w:tbl>
    <w:p>
      <w:pPr>
        <w:spacing w:line="300" w:lineRule="exact"/>
        <w:ind w:firstLine="320" w:firstLineChars="100"/>
        <w:rPr>
          <w:rFonts w:hint="default" w:ascii="Times New Roman" w:hAnsi="Times New Roman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B5B86"/>
    <w:rsid w:val="7A9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2021-02-03T00:15:00Z</dcterms:created>
  <dc:creator>瑜泽</dc:creator>
  <cp:lastModifiedBy>瑜泽</cp:lastModifiedBy>
  <cp:lastPrinted>2021-02-03T00:43:41Z</cp:lastPrinted>
  <dcterms:modified xsi:type="dcterms:W3CDTF">2021-02-03T01:18:26Z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